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6DFE" w:rsidRPr="00B2018B" w:rsidRDefault="00CB6DFE" w:rsidP="00CB6DFE">
      <w:pPr>
        <w:spacing w:before="120" w:after="0" w:line="240" w:lineRule="auto"/>
        <w:jc w:val="center"/>
        <w:rPr>
          <w:rFonts w:cs="Calibri"/>
          <w:color w:val="FF0000"/>
          <w:sz w:val="28"/>
          <w:szCs w:val="28"/>
        </w:rPr>
      </w:pPr>
      <w:r w:rsidRPr="00B2018B">
        <w:rPr>
          <w:rFonts w:cs="Calibri"/>
          <w:color w:val="FF0000"/>
          <w:sz w:val="28"/>
          <w:szCs w:val="28"/>
          <w:rtl/>
        </w:rPr>
        <w:t>بِسْمِ اللّٰهِ الرَّحْمٰنِ الرَّحِيمِ</w:t>
      </w:r>
    </w:p>
    <w:p w:rsidR="00CB6DFE" w:rsidRPr="00B2018B" w:rsidRDefault="00CB6DFE" w:rsidP="00CB6DFE">
      <w:pPr>
        <w:spacing w:before="120" w:after="0" w:line="240" w:lineRule="auto"/>
        <w:jc w:val="center"/>
        <w:rPr>
          <w:rFonts w:cs="Calibri"/>
          <w:color w:val="FF0000"/>
          <w:sz w:val="28"/>
          <w:szCs w:val="28"/>
        </w:rPr>
      </w:pPr>
      <w:r w:rsidRPr="00B2018B">
        <w:rPr>
          <w:rFonts w:cs="Calibri"/>
          <w:color w:val="FF0000"/>
          <w:sz w:val="28"/>
          <w:szCs w:val="28"/>
          <w:rtl/>
        </w:rPr>
        <w:t>وَ بِهِ نَسْتَعِينُ</w:t>
      </w:r>
    </w:p>
    <w:p w:rsidR="00CB6DFE" w:rsidRDefault="00CB6DFE" w:rsidP="00CB6DFE">
      <w:pPr>
        <w:spacing w:before="120" w:after="0" w:line="240" w:lineRule="auto"/>
        <w:jc w:val="center"/>
        <w:rPr>
          <w:rFonts w:cs="Calibri"/>
          <w:sz w:val="24"/>
          <w:szCs w:val="24"/>
        </w:rPr>
      </w:pPr>
      <w:r>
        <w:rPr>
          <w:rFonts w:cs="Calibri"/>
          <w:color w:val="0000B0"/>
          <w:sz w:val="28"/>
          <w:szCs w:val="28"/>
        </w:rPr>
        <w:t>ONBİRİNCİ</w:t>
      </w:r>
      <w:r w:rsidRPr="00B2018B">
        <w:rPr>
          <w:rFonts w:cs="Calibri"/>
          <w:color w:val="0000B0"/>
          <w:sz w:val="28"/>
          <w:szCs w:val="28"/>
        </w:rPr>
        <w:t xml:space="preserve"> MEKTUB</w:t>
      </w:r>
      <w:r>
        <w:rPr>
          <w:rFonts w:cs="Calibri"/>
          <w:color w:val="0000B0"/>
          <w:sz w:val="28"/>
          <w:szCs w:val="28"/>
        </w:rPr>
        <w:t xml:space="preserve"> BİRİNCİ MEBHAS’IN</w:t>
      </w:r>
      <w:r w:rsidRPr="00B2018B">
        <w:rPr>
          <w:rFonts w:cs="Calibri"/>
          <w:color w:val="0000B0"/>
          <w:sz w:val="28"/>
          <w:szCs w:val="28"/>
        </w:rPr>
        <w:t xml:space="preserve"> TAHŞİYESİ</w:t>
      </w:r>
      <w:r>
        <w:rPr>
          <w:rFonts w:cs="Calibri"/>
          <w:color w:val="0000B0"/>
          <w:sz w:val="28"/>
          <w:szCs w:val="28"/>
        </w:rPr>
        <w:t xml:space="preserve"> - Vesvese Hakkında</w:t>
      </w:r>
      <w:r>
        <w:rPr>
          <w:rStyle w:val="FootnoteReference"/>
          <w:rFonts w:cs="Calibri"/>
          <w:color w:val="0000B0"/>
          <w:sz w:val="28"/>
          <w:szCs w:val="28"/>
        </w:rPr>
        <w:footnoteReference w:id="2"/>
      </w:r>
    </w:p>
    <w:p w:rsidR="00CB6DFE" w:rsidRPr="00CB6DFE" w:rsidRDefault="00CB6DFE" w:rsidP="00CB6DFE">
      <w:pPr>
        <w:spacing w:before="120" w:after="0" w:line="240" w:lineRule="auto"/>
        <w:jc w:val="center"/>
        <w:rPr>
          <w:rFonts w:cstheme="minorHAnsi"/>
          <w:b/>
          <w:bCs/>
          <w:sz w:val="24"/>
          <w:szCs w:val="24"/>
        </w:rPr>
      </w:pPr>
      <w:r w:rsidRPr="00CB6DFE">
        <w:rPr>
          <w:rFonts w:cstheme="minorHAnsi"/>
          <w:b/>
          <w:bCs/>
          <w:sz w:val="24"/>
          <w:szCs w:val="24"/>
        </w:rPr>
        <w:t>Onbirinci Mektub</w:t>
      </w:r>
    </w:p>
    <w:p w:rsidR="00CB6DFE" w:rsidRPr="00CB6DFE" w:rsidRDefault="00CB6DFE" w:rsidP="00CB6DFE">
      <w:pPr>
        <w:spacing w:before="120" w:after="0" w:line="240" w:lineRule="auto"/>
        <w:jc w:val="center"/>
        <w:rPr>
          <w:rFonts w:cstheme="minorHAnsi"/>
          <w:color w:val="FF0000"/>
          <w:sz w:val="28"/>
          <w:szCs w:val="28"/>
        </w:rPr>
      </w:pPr>
      <w:r w:rsidRPr="00CB6DFE">
        <w:rPr>
          <w:rFonts w:cstheme="minorHAnsi"/>
          <w:color w:val="FF0000"/>
          <w:sz w:val="28"/>
          <w:szCs w:val="28"/>
          <w:rtl/>
        </w:rPr>
        <w:t>بِاسْمِهِ سُبْحَانَهُ وَاِنْ مِنْ شَيْءٍ اِلاَّ يُسَبِّحُ بِحَمْدِهِ</w:t>
      </w:r>
    </w:p>
    <w:p w:rsidR="00CB6DFE" w:rsidRPr="00CB6DFE" w:rsidRDefault="00CB6DFE" w:rsidP="00CB6DFE">
      <w:pPr>
        <w:spacing w:before="120" w:after="0" w:line="240" w:lineRule="auto"/>
        <w:jc w:val="both"/>
        <w:rPr>
          <w:rFonts w:cstheme="minorHAnsi"/>
          <w:sz w:val="24"/>
          <w:szCs w:val="24"/>
        </w:rPr>
      </w:pPr>
      <w:r w:rsidRPr="00CB6DFE">
        <w:rPr>
          <w:rFonts w:cstheme="minorHAnsi"/>
          <w:sz w:val="24"/>
          <w:szCs w:val="24"/>
        </w:rPr>
        <w:t>(Bu mektub, mühim bir ilâç olup, dört âyetin hazinesinden dört küçük cevherine işaret eder.)</w:t>
      </w:r>
    </w:p>
    <w:p w:rsidR="00CB6DFE" w:rsidRPr="00CB6DFE" w:rsidRDefault="00CB6DFE" w:rsidP="00CB6DFE">
      <w:pPr>
        <w:spacing w:before="120" w:after="0" w:line="240" w:lineRule="auto"/>
        <w:jc w:val="both"/>
        <w:rPr>
          <w:rFonts w:cstheme="minorHAnsi"/>
          <w:sz w:val="24"/>
          <w:szCs w:val="24"/>
        </w:rPr>
      </w:pPr>
      <w:r w:rsidRPr="00CB6DFE">
        <w:rPr>
          <w:rFonts w:cstheme="minorHAnsi"/>
          <w:sz w:val="24"/>
          <w:szCs w:val="24"/>
        </w:rPr>
        <w:t>Aziz kardeşim!</w:t>
      </w:r>
    </w:p>
    <w:p w:rsidR="00CB6DFE" w:rsidRPr="00CB6DFE" w:rsidRDefault="00CB6DFE" w:rsidP="00CB6DFE">
      <w:pPr>
        <w:spacing w:before="120" w:after="0" w:line="240" w:lineRule="auto"/>
        <w:jc w:val="both"/>
        <w:rPr>
          <w:rFonts w:cstheme="minorHAnsi"/>
          <w:sz w:val="24"/>
          <w:szCs w:val="24"/>
        </w:rPr>
      </w:pPr>
      <w:r w:rsidRPr="00CB6DFE">
        <w:rPr>
          <w:rFonts w:cstheme="minorHAnsi"/>
          <w:sz w:val="24"/>
          <w:szCs w:val="24"/>
        </w:rPr>
        <w:t>Şu dört muhtelif mes'eleyi muhtelif vakitlerde Kur'an-ı Hakîm nefsime ders vermiş. Arzu eden kardeşlerim dahi bundan bir ders veya bir hisse almaları için yazdım. Mebhas itibariyle başka başka dört âyet-i kerimenin hazine-i hakaikından birer küçük cevher nümune olarak gösterilmiştir. O dört mebhastan herbir mebhasın ayrı bir sureti, ayrı bir faidesi var.</w:t>
      </w:r>
    </w:p>
    <w:p w:rsidR="00CB6DFE" w:rsidRPr="00CB6DFE" w:rsidRDefault="00CB6DFE" w:rsidP="00CB6DFE">
      <w:pPr>
        <w:spacing w:before="120" w:after="0" w:line="240" w:lineRule="auto"/>
        <w:jc w:val="both"/>
        <w:rPr>
          <w:rFonts w:cstheme="minorHAnsi"/>
          <w:sz w:val="24"/>
          <w:szCs w:val="24"/>
        </w:rPr>
      </w:pPr>
      <w:r w:rsidRPr="00CB6DFE">
        <w:rPr>
          <w:rFonts w:cstheme="minorHAnsi"/>
          <w:b/>
          <w:bCs/>
          <w:sz w:val="24"/>
          <w:szCs w:val="24"/>
        </w:rPr>
        <w:t>Birinci Mebhas:</w:t>
      </w:r>
      <w:r>
        <w:rPr>
          <w:rFonts w:cstheme="minorHAnsi"/>
          <w:sz w:val="24"/>
          <w:szCs w:val="24"/>
        </w:rPr>
        <w:t xml:space="preserve"> </w:t>
      </w:r>
      <w:r w:rsidRPr="00CB6DFE">
        <w:rPr>
          <w:rFonts w:cstheme="minorHAnsi"/>
          <w:color w:val="FF0000"/>
          <w:sz w:val="32"/>
          <w:szCs w:val="32"/>
          <w:rtl/>
        </w:rPr>
        <w:t>اِنَّ كَيْدَ الشَّيْطَانِ كَانَ ضَعِيفًا</w:t>
      </w:r>
      <w:r w:rsidRPr="00CB6DFE">
        <w:rPr>
          <w:rFonts w:cstheme="minorHAnsi"/>
          <w:color w:val="FF0000"/>
          <w:sz w:val="32"/>
          <w:szCs w:val="32"/>
        </w:rPr>
        <w:t xml:space="preserve"> </w:t>
      </w:r>
      <w:r w:rsidRPr="00CB6DFE">
        <w:rPr>
          <w:rFonts w:cstheme="minorHAnsi"/>
          <w:sz w:val="24"/>
          <w:szCs w:val="24"/>
        </w:rPr>
        <w:t>Ey sû'-i vesveseden me'yus nefsim! Tedai-yi hayalât, tahattur-u faraziyat, bir nevi irtisam-ı gayr-ı ihtiyarîdir. İrtisam ise, eğer hayırdan ve nuraniyetten olsa, hakikatın hükmü bir derece suretine ve misaline geçer. Güneşin ziyası ve harareti, âyinedeki misaline geçtiği gibi... Eğer şerden ve kesiften olsa, aslın hükmü ve hâssası, suretine geçmez ve timsaline sirayet etmez. Meselâ necis ve murdar bir şey'in âyinedeki sureti ne necistir, ne murdardır. Ve yılanın timsali, ısırmaz.</w:t>
      </w:r>
    </w:p>
    <w:p w:rsidR="00CB6DFE" w:rsidRDefault="00CB6DFE" w:rsidP="00CB6DFE">
      <w:pPr>
        <w:spacing w:before="120" w:after="0" w:line="240" w:lineRule="auto"/>
        <w:jc w:val="both"/>
        <w:rPr>
          <w:rFonts w:cstheme="minorHAnsi"/>
          <w:sz w:val="24"/>
          <w:szCs w:val="24"/>
        </w:rPr>
      </w:pPr>
      <w:r w:rsidRPr="00CB6DFE">
        <w:rPr>
          <w:rFonts w:cstheme="minorHAnsi"/>
          <w:sz w:val="24"/>
          <w:szCs w:val="24"/>
        </w:rPr>
        <w:t>İşte şu sırra binaen, tasavvur-u küfür, küfür değil; tahayyül-ü şetm, şetm değil. Hususan ihtiyarsız olsa ve farazî bir tahattur olsa, bütün bütün zararsızdır. Hem ehl-i hak olan Ehl-i Sünnet Ve Cemaatin mezhebinde bir şey'in şer'an çirkinliği, pisliği; nehy-i İlahî sebebiyledir. Madem ki ihtiyarsız ve rızasız bir tahattur-u farazîdir, bir tedai-yi hayalîdir; nehiy ona taalluk etmez. O dahi ne kadar çirkin ve pis bir şey'in sureti dahi olsa, çirkin ve pis olmaz.</w:t>
      </w:r>
    </w:p>
    <w:p w:rsidR="00CB6DFE" w:rsidRDefault="00CB6DFE" w:rsidP="00CB6DFE">
      <w:pPr>
        <w:spacing w:before="120" w:after="0" w:line="240" w:lineRule="auto"/>
        <w:jc w:val="both"/>
        <w:rPr>
          <w:rFonts w:cstheme="minorHAnsi"/>
          <w:sz w:val="24"/>
          <w:szCs w:val="24"/>
        </w:rPr>
      </w:pPr>
    </w:p>
    <w:p w:rsidR="00CB6DFE" w:rsidRDefault="00CB6DFE" w:rsidP="00CB6DFE">
      <w:pPr>
        <w:spacing w:before="120" w:after="0" w:line="240" w:lineRule="auto"/>
        <w:jc w:val="both"/>
        <w:rPr>
          <w:rFonts w:cstheme="minorHAnsi"/>
          <w:b/>
          <w:bCs/>
          <w:sz w:val="24"/>
          <w:szCs w:val="24"/>
        </w:rPr>
      </w:pPr>
      <w:r w:rsidRPr="00CB6DFE">
        <w:rPr>
          <w:rFonts w:cstheme="minorHAnsi"/>
          <w:b/>
          <w:bCs/>
          <w:sz w:val="24"/>
          <w:szCs w:val="24"/>
        </w:rPr>
        <w:t>Vesvese</w:t>
      </w:r>
      <w:r>
        <w:rPr>
          <w:rFonts w:cstheme="minorHAnsi"/>
          <w:b/>
          <w:bCs/>
          <w:sz w:val="24"/>
          <w:szCs w:val="24"/>
        </w:rPr>
        <w:t xml:space="preserve"> ile alakalı parçalardır</w:t>
      </w:r>
      <w:r w:rsidRPr="00CB6DFE">
        <w:rPr>
          <w:rFonts w:cstheme="minorHAnsi"/>
          <w:b/>
          <w:bCs/>
          <w:sz w:val="24"/>
          <w:szCs w:val="24"/>
        </w:rPr>
        <w:t>:</w:t>
      </w:r>
    </w:p>
    <w:p w:rsidR="00CB6DFE" w:rsidRDefault="00CB6DFE" w:rsidP="00CB6DFE">
      <w:pPr>
        <w:spacing w:before="120" w:after="0" w:line="240" w:lineRule="auto"/>
        <w:jc w:val="both"/>
        <w:rPr>
          <w:rFonts w:cstheme="minorHAnsi"/>
          <w:b/>
          <w:bCs/>
          <w:sz w:val="24"/>
          <w:szCs w:val="24"/>
        </w:rPr>
      </w:pPr>
      <w:r w:rsidRPr="00CB6DFE">
        <w:rPr>
          <w:rFonts w:cstheme="minorHAnsi"/>
          <w:sz w:val="24"/>
          <w:szCs w:val="24"/>
        </w:rPr>
        <w:t>“</w:t>
      </w:r>
      <w:r w:rsidRPr="00CB6DFE">
        <w:rPr>
          <w:rFonts w:cstheme="minorHAnsi"/>
          <w:sz w:val="24"/>
          <w:szCs w:val="24"/>
        </w:rPr>
        <w:t>İ'lem Eyyühel-Aziz! İnsan kalben ve fikren hakaik-i İlahiyeye bakıp düşündüğü zaman, bilhâssa namaz ve ibadet esnasında, gerek şeytan tarafından, gerek nefsi tarafından pek fena, pis ve çirkin vesveseler, hatıralar, sinekler gibi kalbe, akla hücum ederler. Bu gibi hevaî, vehmî ve çirkin şeylerin def'iyle uğraşan adam, o vesveselere mağlub olur. Ancak onları mağlub edip kaçırmak çaresi, müdafaayı terk edip onlar ile uğraşmamaktır. Evet arılar ile uğraşıldıkça onlar hücumlarını arttırırlar. Onlara karışılmadığı takdirde, insanı terkeder, giderler. Hem de o gibi vesveselerin, ne hakaik-i İlahiyeye ve ne de senin kalbine bir mazarratı yoktur. Evet pis bir menzilin deliklerinden semanın güneş ve yıldızlarına, cennetin gül ve çiçeklerine bakılırsa, o deliklerdeki pislik ne bakana ve ne de bakılana bulaşmaz. Ve fena bir tesir etmez. {(Haşiye): O çirkin sözler senin kalbinin sözleri değil. Çünki senin kalbin ondan müteessir ve müteessiftir. Belki kalbe yakın olan lümme-i şeytanîden geliyor. Meselâ: Sen namazda, Kâ'be karşısında, huzur-u İlahîde âyâtı tefekkürde olduğun bir halde, şu tedai-i efkâr seni tutup en uzak malayaniyat-ı rezileye sevkeder. Meselâ: Âyinenin içindeki yılanın timsali ısırmaz. Ateşin misali yakmaz. Ve necasetin görünmesi âyineyi telvis etmez.}</w:t>
      </w:r>
      <w:r>
        <w:rPr>
          <w:rFonts w:cstheme="minorHAnsi"/>
          <w:sz w:val="24"/>
          <w:szCs w:val="24"/>
        </w:rPr>
        <w:t xml:space="preserve">” </w:t>
      </w:r>
      <w:r w:rsidRPr="00CB6DFE">
        <w:rPr>
          <w:rFonts w:cstheme="minorHAnsi"/>
          <w:b/>
          <w:bCs/>
          <w:sz w:val="24"/>
          <w:szCs w:val="24"/>
        </w:rPr>
        <w:t>Mesnevi-i Nuriye (96)</w:t>
      </w:r>
    </w:p>
    <w:p w:rsidR="00906294" w:rsidRPr="00906294" w:rsidRDefault="00906294" w:rsidP="00906294">
      <w:pPr>
        <w:spacing w:before="120" w:after="0" w:line="240" w:lineRule="auto"/>
        <w:jc w:val="both"/>
        <w:rPr>
          <w:rFonts w:cstheme="minorHAnsi"/>
          <w:sz w:val="24"/>
          <w:szCs w:val="24"/>
        </w:rPr>
      </w:pPr>
      <w:r w:rsidRPr="00906294">
        <w:rPr>
          <w:rFonts w:cstheme="minorHAnsi"/>
          <w:sz w:val="24"/>
          <w:szCs w:val="24"/>
        </w:rPr>
        <w:lastRenderedPageBreak/>
        <w:t>“</w:t>
      </w:r>
      <w:r w:rsidRPr="00906294">
        <w:rPr>
          <w:rFonts w:cstheme="minorHAnsi"/>
          <w:sz w:val="24"/>
          <w:szCs w:val="24"/>
        </w:rPr>
        <w:t>Sabri kardeş! Sabırlı ol, ehemmiyetsiz ve zararsız olan vehmî ve asabî hastalığına ehemmiyet verme. Şifaya dua edilmekle beraber; zararsız, hatarsızdır. Çünki eğer hatarat, seyyie ise; nasılki âyinede temessül eden pislik, pis değil ve âyinedeki yılan sureti ısırmaz ve ateşin timsali yakmaz. Öyle de, kalbin ve hayalin âyinelerinde rızasız, ihtiyarsız gelen pis ve çirkin ve küfrî hatıralar zarar vermezler. Çünki İlm-i Usûl'de tasavvur-u küfür, küfür değil ve tahayyül-ü şetm, şetm olmaz.</w:t>
      </w:r>
    </w:p>
    <w:p w:rsidR="00906294" w:rsidRDefault="00906294" w:rsidP="00906294">
      <w:pPr>
        <w:spacing w:before="120" w:after="0" w:line="240" w:lineRule="auto"/>
        <w:jc w:val="both"/>
        <w:rPr>
          <w:rFonts w:cstheme="minorHAnsi"/>
          <w:b/>
          <w:bCs/>
          <w:sz w:val="24"/>
          <w:szCs w:val="24"/>
        </w:rPr>
      </w:pPr>
      <w:r w:rsidRPr="00906294">
        <w:rPr>
          <w:rFonts w:cstheme="minorHAnsi"/>
          <w:sz w:val="24"/>
          <w:szCs w:val="24"/>
        </w:rPr>
        <w:t>Hasene ise nuranî olduğundan, tasavvur ve tahayyülü dahi hasenedir. Çünki âyinede nuranînin timsali ziya verir, hasiyeti var; kesifin misali ölüdür, hayatsızdır, tesiri yoktur. Eğer sair teellümat-ı ruhaniye ise; sabra, mücahedeye alıştırmak için Rabbanî bir kamçıdır. Çünki emn ü ye'sin vartasına düşmemek hikmetiyle havf u reca müvazenesinde, sabır ve şükürde bulunmak için kabz-bast haletleri, celal ve cemal tecellisinden intibah ehline gelmesi; ehl-i hakikatça medar-ı terakki bir düstur-u meşhurdur.</w:t>
      </w:r>
      <w:r>
        <w:rPr>
          <w:rFonts w:cstheme="minorHAnsi"/>
          <w:sz w:val="24"/>
          <w:szCs w:val="24"/>
        </w:rPr>
        <w:t xml:space="preserve">” </w:t>
      </w:r>
      <w:r w:rsidRPr="00906294">
        <w:rPr>
          <w:rFonts w:cstheme="minorHAnsi"/>
          <w:b/>
          <w:bCs/>
          <w:sz w:val="24"/>
          <w:szCs w:val="24"/>
        </w:rPr>
        <w:t>K</w:t>
      </w:r>
      <w:r>
        <w:rPr>
          <w:rFonts w:cstheme="minorHAnsi"/>
          <w:b/>
          <w:bCs/>
          <w:sz w:val="24"/>
          <w:szCs w:val="24"/>
        </w:rPr>
        <w:t>astamonu Lahikası (8</w:t>
      </w:r>
      <w:r w:rsidRPr="00906294">
        <w:rPr>
          <w:rFonts w:cstheme="minorHAnsi"/>
          <w:b/>
          <w:bCs/>
          <w:sz w:val="24"/>
          <w:szCs w:val="24"/>
        </w:rPr>
        <w:t>)</w:t>
      </w:r>
    </w:p>
    <w:p w:rsidR="00740683" w:rsidRPr="00A579DD" w:rsidRDefault="00740683" w:rsidP="00740683">
      <w:pPr>
        <w:spacing w:before="120" w:after="0" w:line="240" w:lineRule="auto"/>
        <w:jc w:val="both"/>
        <w:rPr>
          <w:rFonts w:cstheme="minorHAnsi"/>
          <w:sz w:val="24"/>
          <w:szCs w:val="24"/>
        </w:rPr>
      </w:pPr>
      <w:r w:rsidRPr="00A579DD">
        <w:rPr>
          <w:rFonts w:cstheme="minorHAnsi"/>
          <w:sz w:val="24"/>
          <w:szCs w:val="24"/>
        </w:rPr>
        <w:t>“</w:t>
      </w:r>
      <w:r w:rsidRPr="00A579DD">
        <w:rPr>
          <w:rFonts w:cstheme="minorHAnsi"/>
          <w:sz w:val="24"/>
          <w:szCs w:val="24"/>
        </w:rPr>
        <w:t>Birinci Hastalık: "Ye's"tir.</w:t>
      </w:r>
    </w:p>
    <w:p w:rsidR="00740683" w:rsidRPr="00A579DD" w:rsidRDefault="00740683" w:rsidP="00740683">
      <w:pPr>
        <w:spacing w:before="120" w:after="0" w:line="240" w:lineRule="auto"/>
        <w:jc w:val="both"/>
        <w:rPr>
          <w:rFonts w:cstheme="minorHAnsi"/>
          <w:sz w:val="24"/>
          <w:szCs w:val="24"/>
        </w:rPr>
      </w:pPr>
      <w:r w:rsidRPr="00A579DD">
        <w:rPr>
          <w:rFonts w:cstheme="minorHAnsi"/>
          <w:sz w:val="24"/>
          <w:szCs w:val="24"/>
        </w:rPr>
        <w:t>Arkadaş! Amele ve taate muvaffak olamayan azabdan korkar, yeise düşer. Böyle bir me'yusun gözüne, dinî mes'elelere münafî edna ve zayıf bir emare, kocaman bir bürhan görünür. Böyle birkaç emareyi elde eder etmez, diğer emarelerin saikasıyla ilân-ı isyan ederek İslâm dairesinden çıkar, şeytanın ordusuna iltihak eder. Binaenaleyh a'male muvaffak olamayanlar, yeise düşmemek için şu âyete müracaat etsin:</w:t>
      </w:r>
    </w:p>
    <w:p w:rsidR="00740683" w:rsidRPr="00A579DD" w:rsidRDefault="00740683" w:rsidP="00A579DD">
      <w:pPr>
        <w:spacing w:before="120" w:after="0" w:line="240" w:lineRule="auto"/>
        <w:jc w:val="center"/>
        <w:rPr>
          <w:rFonts w:cstheme="minorHAnsi"/>
          <w:color w:val="FF0000"/>
          <w:sz w:val="28"/>
          <w:szCs w:val="28"/>
        </w:rPr>
      </w:pPr>
      <w:r w:rsidRPr="00A579DD">
        <w:rPr>
          <w:rFonts w:cs="Calibri"/>
          <w:color w:val="FF0000"/>
          <w:sz w:val="28"/>
          <w:szCs w:val="28"/>
          <w:rtl/>
        </w:rPr>
        <w:t>قُلْ يَا عِبَادِىَ الَّذِينَ اَسْرَفُوا عَلَى اَنْفُسِهِمْ لاَ تَقْنَطُوا مِنْ رَحْمَةِ اللّٰهِ اِنَّ اللّهَ يَغْفِرُ الذُّنُوبَ جَمِيعًا اِنَّهُ هُوَ الْغَفُورُ الرَّحِيمُ</w:t>
      </w:r>
    </w:p>
    <w:p w:rsidR="00740683" w:rsidRDefault="00A579DD" w:rsidP="00A579DD">
      <w:pPr>
        <w:spacing w:before="120" w:after="0" w:line="240" w:lineRule="auto"/>
        <w:jc w:val="right"/>
        <w:rPr>
          <w:rFonts w:cstheme="minorHAnsi"/>
          <w:b/>
          <w:bCs/>
          <w:sz w:val="24"/>
          <w:szCs w:val="24"/>
        </w:rPr>
      </w:pPr>
      <w:r>
        <w:rPr>
          <w:rFonts w:cstheme="minorHAnsi"/>
          <w:b/>
          <w:bCs/>
          <w:sz w:val="24"/>
          <w:szCs w:val="24"/>
        </w:rPr>
        <w:t>Mesnevi-i Nuriye (</w:t>
      </w:r>
      <w:r w:rsidR="00740683" w:rsidRPr="00740683">
        <w:rPr>
          <w:rFonts w:cstheme="minorHAnsi"/>
          <w:b/>
          <w:bCs/>
          <w:sz w:val="24"/>
          <w:szCs w:val="24"/>
        </w:rPr>
        <w:t>65)</w:t>
      </w:r>
    </w:p>
    <w:p w:rsidR="00A579DD" w:rsidRPr="00A579DD" w:rsidRDefault="00B55FBA" w:rsidP="00A579DD">
      <w:pPr>
        <w:spacing w:before="120" w:after="0" w:line="240" w:lineRule="auto"/>
        <w:jc w:val="both"/>
        <w:rPr>
          <w:rFonts w:cstheme="minorHAnsi"/>
          <w:sz w:val="24"/>
          <w:szCs w:val="24"/>
        </w:rPr>
      </w:pPr>
      <w:r w:rsidRPr="00A579DD">
        <w:rPr>
          <w:rFonts w:cstheme="minorHAnsi"/>
          <w:sz w:val="24"/>
          <w:szCs w:val="24"/>
        </w:rPr>
        <w:t>“</w:t>
      </w:r>
      <w:r w:rsidRPr="00A579DD">
        <w:rPr>
          <w:rFonts w:cstheme="minorHAnsi"/>
          <w:sz w:val="24"/>
          <w:szCs w:val="24"/>
        </w:rPr>
        <w:t>Bu âlem-i İslâmın âlem-i küfre karşı en ileri karakolu şu dârülfünun</w:t>
      </w:r>
      <w:r w:rsidR="00A579DD" w:rsidRPr="00A579DD">
        <w:rPr>
          <w:rFonts w:cstheme="minorHAnsi"/>
          <w:sz w:val="24"/>
          <w:szCs w:val="24"/>
        </w:rPr>
        <w:t xml:space="preserve"> </w:t>
      </w:r>
      <w:r w:rsidR="00A579DD" w:rsidRPr="00A579DD">
        <w:rPr>
          <w:rFonts w:cstheme="minorHAnsi"/>
          <w:sz w:val="24"/>
          <w:szCs w:val="24"/>
        </w:rPr>
        <w:t>idi. Lâkayd ve gafletlikle hasm-ı tabiat-yılan</w:t>
      </w:r>
    </w:p>
    <w:p w:rsidR="00A579DD" w:rsidRPr="00A579DD" w:rsidRDefault="00A579DD" w:rsidP="00A579DD">
      <w:pPr>
        <w:spacing w:before="120" w:after="0" w:line="240" w:lineRule="auto"/>
        <w:jc w:val="both"/>
        <w:rPr>
          <w:rFonts w:cstheme="minorHAnsi"/>
          <w:sz w:val="24"/>
          <w:szCs w:val="24"/>
        </w:rPr>
      </w:pPr>
      <w:r w:rsidRPr="00A579DD">
        <w:rPr>
          <w:rFonts w:cstheme="minorHAnsi"/>
          <w:sz w:val="24"/>
          <w:szCs w:val="24"/>
        </w:rPr>
        <w:t>Gediği açtı cephenin arkasında, dinsizlik hücum etti, millet epey sarsıldı. En ileri karakol, İslâmiyet ruhuyla tenevvür etmiş cinan.</w:t>
      </w:r>
    </w:p>
    <w:p w:rsidR="00A579DD" w:rsidRPr="00A579DD" w:rsidRDefault="00A579DD" w:rsidP="00A579DD">
      <w:pPr>
        <w:spacing w:before="120" w:after="0" w:line="240" w:lineRule="auto"/>
        <w:jc w:val="both"/>
        <w:rPr>
          <w:rFonts w:cstheme="minorHAnsi"/>
          <w:sz w:val="24"/>
          <w:szCs w:val="24"/>
        </w:rPr>
      </w:pPr>
      <w:r w:rsidRPr="00A579DD">
        <w:rPr>
          <w:rFonts w:cstheme="minorHAnsi"/>
          <w:sz w:val="24"/>
          <w:szCs w:val="24"/>
        </w:rPr>
        <w:t>En mütesallib olmalı, en müteyakkız olmalı yahut o dar olmamalı, İslâmı aldatmamalı. İmanın yeri kalbdir; dimağ ise oluyor ma'kes-i nur-u iman.</w:t>
      </w:r>
    </w:p>
    <w:p w:rsidR="00A579DD" w:rsidRPr="00A579DD" w:rsidRDefault="00A579DD" w:rsidP="00A579DD">
      <w:pPr>
        <w:spacing w:before="120" w:after="0" w:line="240" w:lineRule="auto"/>
        <w:jc w:val="both"/>
        <w:rPr>
          <w:rFonts w:cstheme="minorHAnsi"/>
          <w:sz w:val="24"/>
          <w:szCs w:val="24"/>
        </w:rPr>
      </w:pPr>
      <w:r w:rsidRPr="00A579DD">
        <w:rPr>
          <w:rFonts w:cstheme="minorHAnsi"/>
          <w:sz w:val="24"/>
          <w:szCs w:val="24"/>
        </w:rPr>
        <w:t>Bazan da mücahiddir, bazan süpürgecidir. Dimağda vesveseler, hem pek çok ihtimaller kalb içine girmese, sarsılmaz iman, vicdan.</w:t>
      </w:r>
    </w:p>
    <w:p w:rsidR="00A579DD" w:rsidRPr="00A579DD" w:rsidRDefault="00A579DD" w:rsidP="00A579DD">
      <w:pPr>
        <w:spacing w:before="120" w:after="0" w:line="240" w:lineRule="auto"/>
        <w:jc w:val="both"/>
        <w:rPr>
          <w:rFonts w:cstheme="minorHAnsi"/>
          <w:sz w:val="24"/>
          <w:szCs w:val="24"/>
        </w:rPr>
      </w:pPr>
      <w:r w:rsidRPr="00A579DD">
        <w:rPr>
          <w:rFonts w:cstheme="minorHAnsi"/>
          <w:sz w:val="24"/>
          <w:szCs w:val="24"/>
        </w:rPr>
        <w:t>Yoksa bazıların zannınca iman dimağda olsa; ruh-u iman olan hakkalyakîne, ihtimalât-ı kesîre olur birer hasm-i bîeman.</w:t>
      </w:r>
    </w:p>
    <w:p w:rsidR="00B55FBA" w:rsidRDefault="00A579DD" w:rsidP="00A579DD">
      <w:pPr>
        <w:spacing w:before="120" w:after="0" w:line="240" w:lineRule="auto"/>
        <w:jc w:val="both"/>
        <w:rPr>
          <w:rFonts w:cstheme="minorHAnsi"/>
          <w:b/>
          <w:bCs/>
          <w:sz w:val="24"/>
          <w:szCs w:val="24"/>
        </w:rPr>
      </w:pPr>
      <w:r w:rsidRPr="00A579DD">
        <w:rPr>
          <w:rFonts w:cstheme="minorHAnsi"/>
          <w:sz w:val="24"/>
          <w:szCs w:val="24"/>
        </w:rPr>
        <w:t>Kalb ile vicdan, mahall-i iman. Hads ile ilham, delil-i iman. Bir hiss-i sâdis; tarîk-ı iman... Fikr ile dimağ, bekçi-i iman.</w:t>
      </w:r>
      <w:r>
        <w:rPr>
          <w:rFonts w:cstheme="minorHAnsi"/>
          <w:sz w:val="24"/>
          <w:szCs w:val="24"/>
        </w:rPr>
        <w:t xml:space="preserve">” </w:t>
      </w:r>
      <w:r w:rsidR="00B55FBA" w:rsidRPr="00B55FBA">
        <w:rPr>
          <w:rFonts w:cstheme="minorHAnsi"/>
          <w:b/>
          <w:bCs/>
          <w:sz w:val="24"/>
          <w:szCs w:val="24"/>
        </w:rPr>
        <w:t>Sözler (</w:t>
      </w:r>
      <w:r>
        <w:rPr>
          <w:rFonts w:cstheme="minorHAnsi"/>
          <w:b/>
          <w:bCs/>
          <w:sz w:val="24"/>
          <w:szCs w:val="24"/>
        </w:rPr>
        <w:t>731 - 732</w:t>
      </w:r>
      <w:r w:rsidR="00B55FBA" w:rsidRPr="00B55FBA">
        <w:rPr>
          <w:rFonts w:cstheme="minorHAnsi"/>
          <w:b/>
          <w:bCs/>
          <w:sz w:val="24"/>
          <w:szCs w:val="24"/>
        </w:rPr>
        <w:t>)</w:t>
      </w:r>
    </w:p>
    <w:p w:rsidR="00A579DD" w:rsidRPr="00CB6DFE" w:rsidRDefault="00A579DD" w:rsidP="00A14813">
      <w:pPr>
        <w:spacing w:before="120" w:after="0" w:line="240" w:lineRule="auto"/>
        <w:jc w:val="both"/>
        <w:rPr>
          <w:rFonts w:cstheme="minorHAnsi"/>
          <w:b/>
          <w:bCs/>
          <w:sz w:val="24"/>
          <w:szCs w:val="24"/>
        </w:rPr>
      </w:pPr>
      <w:r w:rsidRPr="00A14813">
        <w:rPr>
          <w:rFonts w:cstheme="minorHAnsi"/>
          <w:sz w:val="24"/>
          <w:szCs w:val="24"/>
        </w:rPr>
        <w:t>“</w:t>
      </w:r>
      <w:r w:rsidRPr="00A14813">
        <w:rPr>
          <w:rFonts w:cstheme="minorHAnsi"/>
          <w:sz w:val="24"/>
          <w:szCs w:val="24"/>
        </w:rPr>
        <w:t>"Cenab-ı Hak havf damarını hıfz-ı hayat için vermiş, hayatı tahrib için değil! Ve hayatı ağır ve müşkil ve elîm ve azab yapmak için vermemiştir. Havf iki, üç, dört ihtimalden bir olsa.. hattâ beş-altı ihtimalden bir olsa, ihtiyatkârane bir havf meşru olabilir. Fakat yirmi, otuz, kırk ihtimalden bir ihtimal ile havf etmek evhamdır, hayatı azaba çevirir."</w:t>
      </w:r>
      <w:r w:rsidR="00A14813">
        <w:rPr>
          <w:rFonts w:cstheme="minorHAnsi"/>
          <w:sz w:val="24"/>
          <w:szCs w:val="24"/>
        </w:rPr>
        <w:t xml:space="preserve"> </w:t>
      </w:r>
      <w:r w:rsidRPr="00A579DD">
        <w:rPr>
          <w:rFonts w:cstheme="minorHAnsi"/>
          <w:b/>
          <w:bCs/>
          <w:sz w:val="24"/>
          <w:szCs w:val="24"/>
        </w:rPr>
        <w:t>Mektubat (415)</w:t>
      </w:r>
    </w:p>
    <w:sectPr w:rsidR="00A579DD" w:rsidRPr="00CB6DFE" w:rsidSect="004D3FBA">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1BB4" w:rsidRDefault="00881BB4" w:rsidP="00CB6DFE">
      <w:pPr>
        <w:spacing w:after="0" w:line="240" w:lineRule="auto"/>
      </w:pPr>
      <w:r>
        <w:separator/>
      </w:r>
    </w:p>
  </w:endnote>
  <w:endnote w:type="continuationSeparator" w:id="1">
    <w:p w:rsidR="00881BB4" w:rsidRDefault="00881BB4" w:rsidP="00CB6DF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1BB4" w:rsidRDefault="00881BB4" w:rsidP="00CB6DFE">
      <w:pPr>
        <w:spacing w:after="0" w:line="240" w:lineRule="auto"/>
      </w:pPr>
      <w:r>
        <w:separator/>
      </w:r>
    </w:p>
  </w:footnote>
  <w:footnote w:type="continuationSeparator" w:id="1">
    <w:p w:rsidR="00881BB4" w:rsidRDefault="00881BB4" w:rsidP="00CB6DFE">
      <w:pPr>
        <w:spacing w:after="0" w:line="240" w:lineRule="auto"/>
      </w:pPr>
      <w:r>
        <w:continuationSeparator/>
      </w:r>
    </w:p>
  </w:footnote>
  <w:footnote w:id="2">
    <w:p w:rsidR="00CB6DFE" w:rsidRDefault="00CB6DFE" w:rsidP="00CB6DFE">
      <w:pPr>
        <w:spacing w:before="120" w:after="0" w:line="240" w:lineRule="auto"/>
        <w:jc w:val="both"/>
      </w:pPr>
      <w:r>
        <w:rPr>
          <w:rStyle w:val="FootnoteReference"/>
        </w:rPr>
        <w:footnoteRef/>
      </w:r>
      <w:r>
        <w:t xml:space="preserve"> </w:t>
      </w:r>
      <w:r>
        <w:rPr>
          <w:rFonts w:cstheme="minorHAnsi"/>
          <w:sz w:val="24"/>
          <w:szCs w:val="24"/>
        </w:rPr>
        <w:t xml:space="preserve">Ayrıca </w:t>
      </w:r>
      <w:r w:rsidRPr="00CB6DFE">
        <w:rPr>
          <w:rFonts w:cstheme="minorHAnsi"/>
          <w:i/>
          <w:iCs/>
          <w:sz w:val="24"/>
          <w:szCs w:val="24"/>
          <w:highlight w:val="yellow"/>
        </w:rPr>
        <w:t>(Bakınız: Vesvese Derlemesi, 21. Söz’ün Tahşiyesi)</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08"/>
  <w:hyphenationZone w:val="425"/>
  <w:characterSpacingControl w:val="doNotCompress"/>
  <w:footnotePr>
    <w:footnote w:id="0"/>
    <w:footnote w:id="1"/>
  </w:footnotePr>
  <w:endnotePr>
    <w:endnote w:id="0"/>
    <w:endnote w:id="1"/>
  </w:endnotePr>
  <w:compat/>
  <w:docVars>
    <w:docVar w:name="__Grammarly_42____i" w:val="H4sIAAAAAAAEAKtWckksSQxILCpxzi/NK1GyMqwFAAEhoTITAAAA"/>
    <w:docVar w:name="__Grammarly_42___1" w:val="H4sIAAAAAAAEAKtWcslP9kxRslIyNDYysrSwNDQ3MTQwMrC0MDVR0lEKTi0uzszPAykwrAUA4PU09CwAAAA="/>
  </w:docVars>
  <w:rsids>
    <w:rsidRoot w:val="00CB6DFE"/>
    <w:rsid w:val="004D3FBA"/>
    <w:rsid w:val="00740683"/>
    <w:rsid w:val="00881BB4"/>
    <w:rsid w:val="00906294"/>
    <w:rsid w:val="00A14813"/>
    <w:rsid w:val="00A579DD"/>
    <w:rsid w:val="00B55FBA"/>
    <w:rsid w:val="00CB6DFE"/>
  </w:rsids>
  <m:mathPr>
    <m:mathFont m:val="Cambria Math"/>
    <m:brkBin m:val="before"/>
    <m:brkBinSub m:val="--"/>
    <m:smallFrac m:val="off"/>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3FB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CB6DF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B6DFE"/>
    <w:rPr>
      <w:sz w:val="20"/>
      <w:szCs w:val="20"/>
    </w:rPr>
  </w:style>
  <w:style w:type="character" w:styleId="FootnoteReference">
    <w:name w:val="footnote reference"/>
    <w:basedOn w:val="DefaultParagraphFont"/>
    <w:uiPriority w:val="99"/>
    <w:semiHidden/>
    <w:unhideWhenUsed/>
    <w:rsid w:val="00CB6DFE"/>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198975-43D5-484D-A1C9-C12F0C63D2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321</TotalTime>
  <Pages>1</Pages>
  <Words>870</Words>
  <Characters>4960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RISALEINUR</dc:creator>
  <cp:lastModifiedBy>RISALEINUR</cp:lastModifiedBy>
  <cp:revision>2</cp:revision>
  <dcterms:created xsi:type="dcterms:W3CDTF">2020-03-28T17:55:00Z</dcterms:created>
  <dcterms:modified xsi:type="dcterms:W3CDTF">2020-03-28T23:16:00Z</dcterms:modified>
</cp:coreProperties>
</file>